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B55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28ADD492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78A48" w14:textId="77777777" w:rsidR="00F72451" w:rsidRPr="00127C03" w:rsidRDefault="00F72451" w:rsidP="00F724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93843C" w14:textId="6FEC2A38" w:rsidR="001F2C06" w:rsidRPr="00127C03" w:rsidRDefault="005F53EB" w:rsidP="006417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27C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21CA50C" w14:textId="15C2F5BA" w:rsidR="001F2C06" w:rsidRPr="00127C03" w:rsidRDefault="001F2C06" w:rsidP="006417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27C03">
                              <w:rPr>
                                <w:sz w:val="28"/>
                                <w:szCs w:val="28"/>
                              </w:rPr>
                              <w:t>To All Members of Local 919:</w:t>
                            </w:r>
                          </w:p>
                          <w:p w14:paraId="7359B097" w14:textId="52D890C2" w:rsidR="001F2C06" w:rsidRPr="00127C03" w:rsidRDefault="001F2C06" w:rsidP="006417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363EB6" w14:textId="0C8E5392" w:rsidR="001F2C06" w:rsidRPr="00127C03" w:rsidRDefault="001F2C06" w:rsidP="006417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27C03">
                              <w:rPr>
                                <w:sz w:val="28"/>
                                <w:szCs w:val="28"/>
                              </w:rPr>
                              <w:tab/>
                              <w:t>By now, you have heard your Company’s decision to stop the 10% Hazard Pay for all hours worked that has been in place</w:t>
                            </w:r>
                            <w:r w:rsidR="00127C03">
                              <w:rPr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Pr="00127C03">
                              <w:rPr>
                                <w:sz w:val="28"/>
                                <w:szCs w:val="28"/>
                              </w:rPr>
                              <w:t xml:space="preserve"> the last three months.  Stop &amp; Shop’s decision to stop this premium is effective July 4</w:t>
                            </w:r>
                            <w:r w:rsidRPr="00127C0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27C03">
                              <w:rPr>
                                <w:sz w:val="28"/>
                                <w:szCs w:val="28"/>
                              </w:rPr>
                              <w:t xml:space="preserve">.  You should know that this Local Union, as well as the New York, New Jersey and New England </w:t>
                            </w:r>
                            <w:r w:rsidR="00127C03">
                              <w:rPr>
                                <w:sz w:val="28"/>
                                <w:szCs w:val="28"/>
                              </w:rPr>
                              <w:t xml:space="preserve">UFCW </w:t>
                            </w:r>
                            <w:r w:rsidRPr="00127C03">
                              <w:rPr>
                                <w:sz w:val="28"/>
                                <w:szCs w:val="28"/>
                              </w:rPr>
                              <w:t>locals have been in contact several times with you Employer to express our disagreement and outrage over their decision.  We were all told as late as July 1</w:t>
                            </w:r>
                            <w:r w:rsidRPr="00127C0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27C03">
                              <w:rPr>
                                <w:sz w:val="28"/>
                                <w:szCs w:val="28"/>
                              </w:rPr>
                              <w:t xml:space="preserve">, that they have heard the concerns of the members voiced through their Union Representatives, but are not inclined to change their position.  </w:t>
                            </w:r>
                          </w:p>
                          <w:p w14:paraId="393E812C" w14:textId="2DEE442F" w:rsidR="001F2C06" w:rsidRPr="00127C03" w:rsidRDefault="001F2C06" w:rsidP="006417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BA98B1" w14:textId="7FF1B4C6" w:rsidR="001F2C06" w:rsidRPr="00127C03" w:rsidRDefault="001F2C06" w:rsidP="006417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27C0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Brothers and Sisters, even though </w:t>
                            </w:r>
                            <w:r w:rsidR="00127C03">
                              <w:rPr>
                                <w:sz w:val="28"/>
                                <w:szCs w:val="28"/>
                              </w:rPr>
                              <w:t>“hazard pay”</w:t>
                            </w:r>
                            <w:r w:rsidRPr="00127C03">
                              <w:rPr>
                                <w:sz w:val="28"/>
                                <w:szCs w:val="28"/>
                              </w:rPr>
                              <w:t xml:space="preserve"> is not </w:t>
                            </w:r>
                            <w:r w:rsidR="00127C03">
                              <w:rPr>
                                <w:sz w:val="28"/>
                                <w:szCs w:val="28"/>
                              </w:rPr>
                              <w:t>outlined in</w:t>
                            </w:r>
                            <w:r w:rsidRPr="00127C03">
                              <w:rPr>
                                <w:sz w:val="28"/>
                                <w:szCs w:val="28"/>
                              </w:rPr>
                              <w:t xml:space="preserve"> our </w:t>
                            </w:r>
                            <w:r w:rsidR="00127C03" w:rsidRPr="00127C03">
                              <w:rPr>
                                <w:sz w:val="28"/>
                                <w:szCs w:val="28"/>
                              </w:rPr>
                              <w:t>Collective Bargaining Agreement, we will continue to advocate on your behalf.  We have already begun</w:t>
                            </w:r>
                            <w:r w:rsidR="003F767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127C03" w:rsidRPr="00127C03">
                              <w:rPr>
                                <w:sz w:val="28"/>
                                <w:szCs w:val="28"/>
                              </w:rPr>
                              <w:t xml:space="preserve"> not only through a social media campaign, but have entered into talks with members of the CT State Legislature in order to establish a position of continuing the hazard pay legislatively.  We will keep you informed as information becomes available.  In the meantime, continue to </w:t>
                            </w:r>
                            <w:r w:rsidR="005D6AE0">
                              <w:rPr>
                                <w:sz w:val="28"/>
                                <w:szCs w:val="28"/>
                              </w:rPr>
                              <w:t xml:space="preserve">wear your masks and face shields and </w:t>
                            </w:r>
                            <w:r w:rsidR="00127C03" w:rsidRPr="00127C03">
                              <w:rPr>
                                <w:sz w:val="28"/>
                                <w:szCs w:val="28"/>
                              </w:rPr>
                              <w:t xml:space="preserve">practice safe social </w:t>
                            </w:r>
                            <w:r w:rsidR="003A2E52" w:rsidRPr="00127C03">
                              <w:rPr>
                                <w:sz w:val="28"/>
                                <w:szCs w:val="28"/>
                              </w:rPr>
                              <w:t>protoc</w:t>
                            </w:r>
                            <w:r w:rsidR="003A2E52">
                              <w:rPr>
                                <w:sz w:val="28"/>
                                <w:szCs w:val="28"/>
                              </w:rPr>
                              <w:t>ols</w:t>
                            </w:r>
                            <w:r w:rsidR="00127C03" w:rsidRPr="00127C0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5D6AE0">
                              <w:rPr>
                                <w:sz w:val="28"/>
                                <w:szCs w:val="28"/>
                              </w:rPr>
                              <w:t xml:space="preserve">  Thank you for all you do to serve your customers and your community during this pandemic.</w:t>
                            </w:r>
                          </w:p>
                          <w:p w14:paraId="28B75BDB" w14:textId="1D4BA92B" w:rsidR="00127C03" w:rsidRDefault="00127C03" w:rsidP="006417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A58A78" w14:textId="0E6503D8" w:rsidR="00127C03" w:rsidRDefault="00127C03" w:rsidP="00127C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Fraternally,</w:t>
                            </w:r>
                          </w:p>
                          <w:p w14:paraId="25AFE18A" w14:textId="4805BE3C" w:rsidR="00127C03" w:rsidRDefault="00127C03" w:rsidP="00127C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Mark A. Espinosa</w:t>
                            </w:r>
                          </w:p>
                          <w:p w14:paraId="1F5FD0AD" w14:textId="3EAA9325" w:rsidR="00127C03" w:rsidRPr="00127C03" w:rsidRDefault="00127C03" w:rsidP="00127C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14:paraId="27E78A48" w14:textId="77777777" w:rsidR="00F72451" w:rsidRPr="00127C03" w:rsidRDefault="00F72451" w:rsidP="00F724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793843C" w14:textId="6FEC2A38" w:rsidR="001F2C06" w:rsidRPr="00127C03" w:rsidRDefault="005F53EB" w:rsidP="006417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27C0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521CA50C" w14:textId="15C2F5BA" w:rsidR="001F2C06" w:rsidRPr="00127C03" w:rsidRDefault="001F2C06" w:rsidP="006417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27C03">
                        <w:rPr>
                          <w:sz w:val="28"/>
                          <w:szCs w:val="28"/>
                        </w:rPr>
                        <w:t>To All Members of Local 919:</w:t>
                      </w:r>
                    </w:p>
                    <w:p w14:paraId="7359B097" w14:textId="52D890C2" w:rsidR="001F2C06" w:rsidRPr="00127C03" w:rsidRDefault="001F2C06" w:rsidP="006417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9363EB6" w14:textId="0C8E5392" w:rsidR="001F2C06" w:rsidRPr="00127C03" w:rsidRDefault="001F2C06" w:rsidP="006417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27C03">
                        <w:rPr>
                          <w:sz w:val="28"/>
                          <w:szCs w:val="28"/>
                        </w:rPr>
                        <w:tab/>
                        <w:t>By now, you have heard your Company’s decision to stop the 10% Hazard Pay for all hours worked that has been in place</w:t>
                      </w:r>
                      <w:r w:rsidR="00127C03">
                        <w:rPr>
                          <w:sz w:val="28"/>
                          <w:szCs w:val="28"/>
                        </w:rPr>
                        <w:t xml:space="preserve"> for</w:t>
                      </w:r>
                      <w:r w:rsidRPr="00127C03">
                        <w:rPr>
                          <w:sz w:val="28"/>
                          <w:szCs w:val="28"/>
                        </w:rPr>
                        <w:t xml:space="preserve"> the last three months.  Stop &amp; Shop’s decision to stop this premium is effective July 4</w:t>
                      </w:r>
                      <w:r w:rsidRPr="00127C0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27C03">
                        <w:rPr>
                          <w:sz w:val="28"/>
                          <w:szCs w:val="28"/>
                        </w:rPr>
                        <w:t xml:space="preserve">.  You should know that this Local Union, as well as the New York, New Jersey and New England </w:t>
                      </w:r>
                      <w:r w:rsidR="00127C03">
                        <w:rPr>
                          <w:sz w:val="28"/>
                          <w:szCs w:val="28"/>
                        </w:rPr>
                        <w:t xml:space="preserve">UFCW </w:t>
                      </w:r>
                      <w:r w:rsidRPr="00127C03">
                        <w:rPr>
                          <w:sz w:val="28"/>
                          <w:szCs w:val="28"/>
                        </w:rPr>
                        <w:t>locals have been in contact several times with you Employer to express our disagreement and outrage over their decision.  We were all told as late as July 1</w:t>
                      </w:r>
                      <w:r w:rsidRPr="00127C03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27C03">
                        <w:rPr>
                          <w:sz w:val="28"/>
                          <w:szCs w:val="28"/>
                        </w:rPr>
                        <w:t xml:space="preserve">, that they have heard the concerns of the members voiced through their Union Representatives, but are not inclined to change their position.  </w:t>
                      </w:r>
                    </w:p>
                    <w:p w14:paraId="393E812C" w14:textId="2DEE442F" w:rsidR="001F2C06" w:rsidRPr="00127C03" w:rsidRDefault="001F2C06" w:rsidP="006417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8BA98B1" w14:textId="7FF1B4C6" w:rsidR="001F2C06" w:rsidRPr="00127C03" w:rsidRDefault="001F2C06" w:rsidP="006417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27C03">
                        <w:rPr>
                          <w:sz w:val="28"/>
                          <w:szCs w:val="28"/>
                        </w:rPr>
                        <w:tab/>
                        <w:t xml:space="preserve">Brothers and Sisters, even though </w:t>
                      </w:r>
                      <w:r w:rsidR="00127C03">
                        <w:rPr>
                          <w:sz w:val="28"/>
                          <w:szCs w:val="28"/>
                        </w:rPr>
                        <w:t>“hazard pay”</w:t>
                      </w:r>
                      <w:r w:rsidRPr="00127C03">
                        <w:rPr>
                          <w:sz w:val="28"/>
                          <w:szCs w:val="28"/>
                        </w:rPr>
                        <w:t xml:space="preserve"> is not </w:t>
                      </w:r>
                      <w:r w:rsidR="00127C03">
                        <w:rPr>
                          <w:sz w:val="28"/>
                          <w:szCs w:val="28"/>
                        </w:rPr>
                        <w:t>outlined in</w:t>
                      </w:r>
                      <w:r w:rsidRPr="00127C03">
                        <w:rPr>
                          <w:sz w:val="28"/>
                          <w:szCs w:val="28"/>
                        </w:rPr>
                        <w:t xml:space="preserve"> our </w:t>
                      </w:r>
                      <w:r w:rsidR="00127C03" w:rsidRPr="00127C03">
                        <w:rPr>
                          <w:sz w:val="28"/>
                          <w:szCs w:val="28"/>
                        </w:rPr>
                        <w:t>Collective Bargaining Agreement, we will continue to advocate on your behalf.  We have already begun</w:t>
                      </w:r>
                      <w:r w:rsidR="003F7674">
                        <w:rPr>
                          <w:sz w:val="28"/>
                          <w:szCs w:val="28"/>
                        </w:rPr>
                        <w:t>,</w:t>
                      </w:r>
                      <w:r w:rsidR="00127C03" w:rsidRPr="00127C03">
                        <w:rPr>
                          <w:sz w:val="28"/>
                          <w:szCs w:val="28"/>
                        </w:rPr>
                        <w:t xml:space="preserve"> not only through a social media campaign, but have entered into talks with members of the CT State Legislature in order to establish a position of continuing the hazard pay legislatively.  We will keep you informed as information becomes available.  In the meantime, continue to </w:t>
                      </w:r>
                      <w:r w:rsidR="005D6AE0">
                        <w:rPr>
                          <w:sz w:val="28"/>
                          <w:szCs w:val="28"/>
                        </w:rPr>
                        <w:t xml:space="preserve">wear your masks and face shields and </w:t>
                      </w:r>
                      <w:r w:rsidR="00127C03" w:rsidRPr="00127C03">
                        <w:rPr>
                          <w:sz w:val="28"/>
                          <w:szCs w:val="28"/>
                        </w:rPr>
                        <w:t xml:space="preserve">practice safe social </w:t>
                      </w:r>
                      <w:r w:rsidR="003A2E52" w:rsidRPr="00127C03">
                        <w:rPr>
                          <w:sz w:val="28"/>
                          <w:szCs w:val="28"/>
                        </w:rPr>
                        <w:t>protoc</w:t>
                      </w:r>
                      <w:r w:rsidR="003A2E52">
                        <w:rPr>
                          <w:sz w:val="28"/>
                          <w:szCs w:val="28"/>
                        </w:rPr>
                        <w:t>ols</w:t>
                      </w:r>
                      <w:r w:rsidR="00127C03" w:rsidRPr="00127C03">
                        <w:rPr>
                          <w:sz w:val="28"/>
                          <w:szCs w:val="28"/>
                        </w:rPr>
                        <w:t>.</w:t>
                      </w:r>
                      <w:r w:rsidR="005D6AE0">
                        <w:rPr>
                          <w:sz w:val="28"/>
                          <w:szCs w:val="28"/>
                        </w:rPr>
                        <w:t xml:space="preserve">  Thank you for all you do to serve your customers and your community during this pandemic.</w:t>
                      </w:r>
                    </w:p>
                    <w:p w14:paraId="28B75BDB" w14:textId="1D4BA92B" w:rsidR="00127C03" w:rsidRDefault="00127C03" w:rsidP="006417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AA58A78" w14:textId="0E6503D8" w:rsidR="00127C03" w:rsidRDefault="00127C03" w:rsidP="00127C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Fraternally,</w:t>
                      </w:r>
                    </w:p>
                    <w:p w14:paraId="25AFE18A" w14:textId="4805BE3C" w:rsidR="00127C03" w:rsidRDefault="00127C03" w:rsidP="00127C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Mark A. Espinosa</w:t>
                      </w:r>
                    </w:p>
                    <w:p w14:paraId="1F5FD0AD" w14:textId="3EAA9325" w:rsidR="00127C03" w:rsidRPr="00127C03" w:rsidRDefault="00127C03" w:rsidP="00127C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7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1AF9D619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</w:t>
      </w:r>
      <w:r w:rsidR="00A24F37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SON DOKLA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010D0"/>
    <w:rsid w:val="00013A8F"/>
    <w:rsid w:val="00093922"/>
    <w:rsid w:val="000A2DCF"/>
    <w:rsid w:val="00114B9B"/>
    <w:rsid w:val="00127C03"/>
    <w:rsid w:val="001D364C"/>
    <w:rsid w:val="001F2C06"/>
    <w:rsid w:val="002E082D"/>
    <w:rsid w:val="003A2E52"/>
    <w:rsid w:val="003A436D"/>
    <w:rsid w:val="003F7674"/>
    <w:rsid w:val="004A0144"/>
    <w:rsid w:val="005D6AE0"/>
    <w:rsid w:val="005F53EB"/>
    <w:rsid w:val="0062058B"/>
    <w:rsid w:val="0064171C"/>
    <w:rsid w:val="007C3E2C"/>
    <w:rsid w:val="00826882"/>
    <w:rsid w:val="008B05FE"/>
    <w:rsid w:val="00A24F37"/>
    <w:rsid w:val="00B71239"/>
    <w:rsid w:val="00BD2D22"/>
    <w:rsid w:val="00BF39F7"/>
    <w:rsid w:val="00CC5513"/>
    <w:rsid w:val="00F72451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cw919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4</cp:revision>
  <cp:lastPrinted>2020-07-02T17:24:00Z</cp:lastPrinted>
  <dcterms:created xsi:type="dcterms:W3CDTF">2020-07-02T17:17:00Z</dcterms:created>
  <dcterms:modified xsi:type="dcterms:W3CDTF">2020-07-02T17:57:00Z</dcterms:modified>
</cp:coreProperties>
</file>